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332</w:t>
      </w:r>
    </w:p>
    <w:p>
      <w:r>
        <w:t>Bundesgericht (BGE), 1997-02-27, DE</w:t>
      </w:r>
    </w:p>
    <w:p>
      <w:r>
        <w:rPr>
          <w:b/>
        </w:rPr>
        <w:t xml:space="preserve">Quelle: </w:t>
      </w:r>
      <w:r>
        <w:t>https://mcp.opencaselaw.ch/entscheid/bge_123 III 332</w:t>
      </w:r>
    </w:p>
    <w:p>
      <w:r>
        <w:t>FR: ATF 123 III 332</w:t>
      </w:r>
    </w:p>
    <w:p>
      <w:r>
        <w:t>IT: DTF 123 III 332</w:t>
      </w:r>
    </w:p>
    <w:p>
      <w:pPr>
        <w:pStyle w:val="Heading2"/>
      </w:pPr>
      <w:r>
        <w:t>Regeste</w:t>
      </w:r>
    </w:p>
    <w:p>
      <w:r>
        <w:t>Regeste Lohnpfändung für Unterhaltsansprüche (Art. 93 SchKG). Die Rechtsprechung des Sachrichters, welche dem erwerbstätigen unterhaltspflichtigen Ehegatten auf jeden Fall das betreibungsrechtliche Existenzminimum belässt, ändert nichts daran, dass - entsprechend ständiger vollstreckungsrechtlicher Praxis - im Rahmen einer Lohnpfändung in das Existenzminimum des unterhaltspflichtigen Schuldners eingegriffen werden kann.</w:t>
      </w:r>
    </w:p>
    <w:p>
      <w:pPr>
        <w:pStyle w:val="Heading2"/>
      </w:pPr>
      <w:r>
        <w:t>Erwägungen</w:t>
      </w:r>
    </w:p>
    <w:p>
      <w:r>
        <w:rPr>
          <w:b/>
        </w:rPr>
        <w:t>E. 1</w:t>
      </w:r>
    </w:p>
    <w:p>
      <w:r>
        <w:t>Das Bezirksgericht Hinwil hat seinem Beschluss vom 27. Februar 1997 die Rechtsprechung zugrunde gelegt, wonach - unter hier nicht weiter zu diskutierenden Voraussetzungen - in das Existenzminimum des Schuldners eingegriffen werden kann, wenn als betreibende Gläubiger Familienmitglieder des Schuldners auftreten, die ihn für Unterhaltsforderungen aus dem letzten Jahr vor BGE 123 III 332 S. 333 Zustellung des Zahlungsbefehls belangen ( BGE 116 III 10 E. 2; BGE 111 III 13 E. 5; BGE 106 III 18 E. 1, mit weiteren Hinweisen; AMONN/GASSER, Grundriss des Schuldbetreibungs- und Konkursrechts, 6. Auflage Bern 1997, § 23 N. 67 ff.). Es hat das Betreibungsamt angewiesen, entsprechend der von der Rechtsprechung ( BGE 111 III 13 E. 5b; BGE 71 III 174 E. 3) entwickelten Formel und unter Berücksichtigung der Feststellung, dass die unterhaltsberechtigte Beschwerdeführerin auf Beiträge im Umfang von Fr. 1'216.80 angewiesen sei, die pfändbare Quote neu zu berechnen. Diese Berechnung hat zu einem Eingriff in den Notbedarf des unterhaltspflichtigen Schuldners geführt. Demgegenüber betrachtet das Obergericht des Kantons Zürich einen Eingriff in das Existenzminimum des Schuldners als unzulässig. Es stützt sich für seine Auffassung auf Urteile, welche die II. Zivilabteilung des Bundesgerichts im Verfahren der staatsrechtlichen Beschwerde gefällt hat, nämlich auf BGE 123 III 1 , wo erkannt worden ist, dass das Existenzminimum dem Rentenschuldner auch dann belassen werden muss, wenn Kinderalimente zuzusprechen sind, und auf BGE 121 I 97 , wo eine Unterhaltsregelung für die Dauer des Scheidungsprozesses, die dem erwerbstätigen unterhaltspflichtigen Ehegatten auf jeden Fall das betreibungsrechtliche Existenzminimum belässt und einen allfälligen Fehlbetrag einzig beim Unterhaltsanspruch des anderen Ehegatten berücksichtigt, als nicht verfassungswidrig bezeichnet worden ist. Diese Rechtsprechung, welche die Festsetzung von Unterhaltsansprüchen gemäss Art. 163 und 176 ZGB bzw. Art. 145 Abs. 2 ZGB durch den Massnahmerichter zum Gegenstand hat, möchte das Obergericht auch im Zwangsvollstreckungsverfahren angewandt wissen.</w:t>
      </w:r>
    </w:p>
    <w:p>
      <w:r>
        <w:rPr>
          <w:b/>
        </w:rPr>
        <w:t>E. 2</w:t>
      </w:r>
    </w:p>
    <w:p>
      <w:r>
        <w:t>Der Beschwerdeführer hält dem von ihm angefochtenen Beschluss des Obergerichts des Kantons Zürich zu Recht entgegen, dass die im Rahmen vorsorglicher Massnahmen zur familienrechtlichen Unterhaltspflicht entwickelte Rechtsprechung, welche einen Eingriff in das Existenzminimum des Unterhaltspflichtigen verbietet, nicht ohne weiteres auf das Zwangsvollstreckungsverfahren, in welchem Unterhaltsbeiträge betrieben werden, übertragen werden könne. Wollten der Betreibungsbeamte oder die seine Tätigkeit prüfenden Aufsichtsbehörden Überlegungen anstellen, wie sie in BGE 121 I 97 und BGE 123 III 1 Ausdruck gefunden haben, so würden sie damit materiellrechtliche Ansprüche bzw. Verpflichtungen beurteilen. Das aber ist ihnen grundsätzlich untersagt (vgl. BGE 113 III 2 BGE 123 III 332 S. 334 E. 2b). Tangiert würde insbesondere der Aufgabenbereich des Richters, der zuständig ist für die Herabsetzung der vom Scheidungsrichter zugesprochenen Rente in jenen Fällen, wo die Vermögensverhältnisse des Pflichtigen der Höhe der Rente nicht mehr entsprechen ( Art. 153 Abs. 2 ZGB ). Der Massnahmerichter und der Scheidungsrichter befinden darüber, welche Leistung dem Unterhaltsverpflichteten zugemutet werden kann. Steht diese Verpflichtung betragsmässig fest, so muss sie im Zwangsvollstreckungsverfahren durchgesetzt werden können. Es darf insbesondere nicht dazu kommen, dass - wie die Beschwerdeführerin zutreffend erklärt - rechtskräftig festgesetzte Unterhaltsbeiträge von einem zahlungsunwilligen Unterhaltsverpflichteten nicht bezahlt werden, weil er sich so einzurichten weiss, dass im Falle einer Betreibung keine pfändbare Quote mehr übrigbleibt. Jedenfalls würde es - wenn man der vom Obergericht des Kantons Zürich vertretenen Rechtsauffassung nachlebte - dazu kommen, dass der Betreibungsbeamte (oder die Aufsichtsbehörden in Schuldbetreibungs- und Konkurssachen) die wirtschaftliche Leistungsfähigkeit des unterhaltspflichtigen Schuldners anders beurteilt als der Massnahmerichter oder der Scheidungsrichter. Mit der Rechtsprechung, auf welche sich der angefochtene Beschluss stützt, wollte die II. Zivilabteilung des Bundesgerichts nicht bewirken, dass die Möglichkeit des Eingriffs in den Notbedarf des Schuldners, wie er in ständiger vollstreckungsrechtlicher Praxis für Unterhaltsbeiträge zugelassen worden ist, untersagt werden sollte. Die Begrenzung des Eingriffs in das Existenzminimum, welche in BGE 121 I 97 E. 3b, S. 102, erwähnt wird, hat besondere Gründe, die im vorliegenden Fall nicht gegeben sind. Indem es die Zulässigkeit des Eingriffs in das Existenzminimum des unterhaltspflichtigen Schuldners verneint hat, hat das Obergericht des Kantons Zürich Art. 93 SchKG verletzt. Die Beschwerde erweist sich als begründet und ist demzufolge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